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28A6A">
      <w:pPr>
        <w:rPr>
          <w:rFonts w:hint="default" w:ascii="Times New Roman" w:hAnsi="Times New Roman" w:cs="Times New Roman"/>
          <w:b/>
          <w:bCs/>
          <w:sz w:val="22"/>
          <w:szCs w:val="24"/>
        </w:rPr>
      </w:pPr>
      <w:r>
        <w:rPr>
          <w:rFonts w:hint="default" w:ascii="Times New Roman" w:hAnsi="Times New Roman" w:cs="Times New Roman"/>
          <w:b/>
          <w:bCs/>
          <w:sz w:val="22"/>
          <w:szCs w:val="24"/>
        </w:rPr>
        <w:t>Supporting information</w:t>
      </w:r>
    </w:p>
    <w:p w14:paraId="5D84DC9F">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color w:val="000000" w:themeColor="text1"/>
          <w:lang w:eastAsia="zh-CN"/>
          <w14:textFill>
            <w14:solidFill>
              <w14:schemeClr w14:val="tx1"/>
            </w14:solidFill>
          </w14:textFill>
        </w:rPr>
        <w:t xml:space="preserve">Supplementary </w:t>
      </w:r>
      <w:r>
        <w:rPr>
          <w:rFonts w:hint="default" w:ascii="Times New Roman" w:hAnsi="Times New Roman" w:cs="Times New Roman"/>
          <w:b/>
          <w:bCs/>
          <w:color w:val="000000" w:themeColor="text1"/>
          <w:lang w:eastAsia="zh-CN"/>
          <w14:textFill>
            <w14:solidFill>
              <w14:schemeClr w14:val="tx1"/>
            </w14:solidFill>
          </w14:textFill>
        </w:rPr>
        <w:t>T</w:t>
      </w:r>
      <w:r>
        <w:rPr>
          <w:rFonts w:hint="default" w:ascii="Times New Roman" w:hAnsi="Times New Roman" w:cs="Times New Roman"/>
          <w:b/>
          <w:bCs/>
          <w:color w:val="000000" w:themeColor="text1"/>
          <w:lang w:eastAsia="zh-CN"/>
          <w14:textFill>
            <w14:solidFill>
              <w14:schemeClr w14:val="tx1"/>
            </w14:solidFill>
          </w14:textFill>
        </w:rPr>
        <w:t>able. 1.</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b/>
          <w:bCs/>
          <w:color w:val="000000" w:themeColor="text1"/>
          <w:lang w:eastAsia="zh-CN"/>
          <w14:textFill>
            <w14:solidFill>
              <w14:schemeClr w14:val="tx1"/>
            </w14:solidFill>
          </w14:textFill>
        </w:rPr>
        <w:t>Donor and sample information. </w:t>
      </w:r>
      <w:r>
        <w:rPr>
          <w:rFonts w:hint="default" w:ascii="Times New Roman" w:hAnsi="Times New Roman" w:cs="Times New Roman"/>
          <w:color w:val="000000" w:themeColor="text1"/>
          <w:lang w:eastAsia="zh-CN"/>
          <w14:textFill>
            <w14:solidFill>
              <w14:schemeClr w14:val="tx1"/>
            </w14:solidFill>
          </w14:textFill>
        </w:rPr>
        <w:t>The table includes descriptions of sample names, cell counts, sample IDs, donor status, OA grade, donor demographics (age, sex, BMI), and detailed sampling locations.</w:t>
      </w:r>
    </w:p>
    <w:p w14:paraId="5FD7AF46">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color w:val="000000" w:themeColor="text1"/>
          <w:lang w:eastAsia="zh-CN"/>
          <w14:textFill>
            <w14:solidFill>
              <w14:schemeClr w14:val="tx1"/>
            </w14:solidFill>
          </w14:textFill>
        </w:rPr>
        <w:t xml:space="preserve">Supplementary </w:t>
      </w:r>
      <w:r>
        <w:rPr>
          <w:rFonts w:hint="default" w:ascii="Times New Roman" w:hAnsi="Times New Roman" w:cs="Times New Roman"/>
          <w:b/>
          <w:bCs/>
          <w:color w:val="000000" w:themeColor="text1"/>
          <w:lang w:eastAsia="zh-CN"/>
          <w14:textFill>
            <w14:solidFill>
              <w14:schemeClr w14:val="tx1"/>
            </w14:solidFill>
          </w14:textFill>
        </w:rPr>
        <w:t>T</w:t>
      </w:r>
      <w:r>
        <w:rPr>
          <w:rFonts w:hint="default" w:ascii="Times New Roman" w:hAnsi="Times New Roman" w:cs="Times New Roman"/>
          <w:b/>
          <w:bCs/>
          <w:color w:val="000000" w:themeColor="text1"/>
          <w:lang w:eastAsia="zh-CN"/>
          <w14:textFill>
            <w14:solidFill>
              <w14:schemeClr w14:val="tx1"/>
            </w14:solidFill>
          </w14:textFill>
        </w:rPr>
        <w:t xml:space="preserve">able. </w:t>
      </w:r>
      <w:r>
        <w:rPr>
          <w:rFonts w:hint="default" w:ascii="Times New Roman" w:hAnsi="Times New Roman" w:cs="Times New Roman"/>
          <w:b/>
          <w:bCs/>
          <w:color w:val="000000" w:themeColor="text1"/>
          <w:lang w:eastAsia="zh-CN"/>
          <w14:textFill>
            <w14:solidFill>
              <w14:schemeClr w14:val="tx1"/>
            </w14:solidFill>
          </w14:textFill>
        </w:rPr>
        <w:t>2</w:t>
      </w:r>
      <w:r>
        <w:rPr>
          <w:rFonts w:hint="default" w:ascii="Times New Roman" w:hAnsi="Times New Roman" w:cs="Times New Roman"/>
          <w:b/>
          <w:bCs/>
          <w:color w:val="000000" w:themeColor="text1"/>
          <w:lang w:eastAsia="zh-CN"/>
          <w14:textFill>
            <w14:solidFill>
              <w14:schemeClr w14:val="tx1"/>
            </w14:solidFill>
          </w14:textFill>
        </w:rPr>
        <w:t>.</w:t>
      </w:r>
      <w:r>
        <w:rPr>
          <w:rFonts w:hint="default" w:ascii="Times New Roman" w:hAnsi="Times New Roman" w:cs="Times New Roman"/>
        </w:rPr>
        <w:t xml:space="preserve"> </w:t>
      </w:r>
      <w:r>
        <w:rPr>
          <w:rFonts w:hint="default" w:ascii="Times New Roman" w:hAnsi="Times New Roman" w:cs="Times New Roman"/>
          <w:b/>
          <w:bCs/>
          <w:color w:val="000000" w:themeColor="text1"/>
          <w:lang w:eastAsia="zh-CN"/>
          <w14:textFill>
            <w14:solidFill>
              <w14:schemeClr w14:val="tx1"/>
            </w14:solidFill>
          </w14:textFill>
        </w:rPr>
        <w:t>Supplementary Table. 2: supplemental table of gene names</w:t>
      </w:r>
      <w:r>
        <w:rPr>
          <w:rFonts w:hint="default" w:ascii="Times New Roman" w:hAnsi="Times New Roman" w:cs="Times New Roman"/>
          <w:b/>
          <w:bCs/>
          <w:color w:val="000000" w:themeColor="text1"/>
          <w:lang w:eastAsia="zh-CN"/>
          <w14:textFill>
            <w14:solidFill>
              <w14:schemeClr w14:val="tx1"/>
            </w14:solidFill>
          </w14:textFill>
        </w:rPr>
        <w:t>.</w:t>
      </w:r>
      <w:r>
        <w:rPr>
          <w:rFonts w:hint="default" w:ascii="Times New Roman" w:hAnsi="Times New Roman" w:cs="Times New Roman"/>
        </w:rPr>
        <w:t xml:space="preserve"> </w:t>
      </w:r>
      <w:r>
        <w:rPr>
          <w:rFonts w:hint="default" w:ascii="Times New Roman" w:hAnsi="Times New Roman" w:cs="Times New Roman"/>
          <w:color w:val="000000" w:themeColor="text1"/>
          <w:lang w:eastAsia="zh-CN"/>
          <w14:textFill>
            <w14:solidFill>
              <w14:schemeClr w14:val="tx1"/>
            </w14:solidFill>
          </w14:textFill>
        </w:rPr>
        <w:t xml:space="preserve">This table provides a comprehensive list of abbreviations and full names for reference. </w:t>
      </w:r>
    </w:p>
    <w:p w14:paraId="4D10B0FA">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1. </w:t>
      </w:r>
      <w:r>
        <w:rPr>
          <w:rFonts w:hint="default" w:ascii="Times New Roman" w:hAnsi="Times New Roman" w:cs="Times New Roman"/>
          <w:b/>
          <w:bCs/>
          <w:color w:val="000000" w:themeColor="text1"/>
          <w:lang w:eastAsia="zh-CN"/>
          <w14:textFill>
            <w14:solidFill>
              <w14:schemeClr w14:val="tx1"/>
            </w14:solidFill>
          </w14:textFill>
        </w:rPr>
        <w:t>Quality control indices of scRNA-seq</w:t>
      </w:r>
      <w:r>
        <w:rPr>
          <w:rFonts w:hint="default" w:ascii="Times New Roman" w:hAnsi="Times New Roman" w:cs="Times New Roman"/>
          <w:b/>
          <w:bCs/>
          <w:sz w:val="22"/>
          <w:szCs w:val="24"/>
        </w:rPr>
        <w:t>:</w:t>
      </w:r>
      <w:r>
        <w:rPr>
          <w:rFonts w:hint="default" w:ascii="Times New Roman" w:hAnsi="Times New Roman" w:cs="Times New Roman"/>
          <w:sz w:val="22"/>
          <w:szCs w:val="24"/>
        </w:rPr>
        <w:t xml:space="preserve"> </w:t>
      </w:r>
      <w:r>
        <w:rPr>
          <w:rFonts w:hint="default" w:ascii="Times New Roman" w:hAnsi="Times New Roman" w:cs="Times New Roman"/>
          <w:color w:val="000000" w:themeColor="text1"/>
          <w:lang w:eastAsia="zh-CN"/>
          <w14:textFill>
            <w14:solidFill>
              <w14:schemeClr w14:val="tx1"/>
            </w14:solidFill>
          </w14:textFill>
        </w:rPr>
        <w:t>(a) Statistical plots of nFeature_RNA, nCount_RNA, and percent.mt showing that the proportion of mitochondrial genes in the sample cells meets the standards.</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(b) Principal component analysis (PCA) of highly variable genes using the "RunPCA" function.</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(c) Selection of significant principal components using the "ElbowPlot" function and noise reduction through permutation tests.</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(d) Heatmap displaying the expression of differentially expressed genes in each cluster.</w:t>
      </w:r>
    </w:p>
    <w:p w14:paraId="14625245">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2. </w:t>
      </w:r>
      <w:r>
        <w:rPr>
          <w:rFonts w:hint="default" w:ascii="Times New Roman" w:hAnsi="Times New Roman" w:cs="Times New Roman"/>
          <w:b/>
          <w:bCs/>
          <w:color w:val="000000" w:themeColor="text1"/>
          <w:lang w:eastAsia="zh-CN"/>
          <w14:textFill>
            <w14:solidFill>
              <w14:schemeClr w14:val="tx1"/>
            </w14:solidFill>
          </w14:textFill>
        </w:rPr>
        <w:t>Sample information</w:t>
      </w:r>
      <w:r>
        <w:rPr>
          <w:rFonts w:hint="default" w:ascii="Times New Roman" w:hAnsi="Times New Roman" w:cs="Times New Roman"/>
          <w:b/>
          <w:bCs/>
          <w:sz w:val="22"/>
          <w:szCs w:val="24"/>
        </w:rPr>
        <w:t>:</w:t>
      </w:r>
      <w:r>
        <w:rPr>
          <w:rFonts w:hint="default" w:ascii="Times New Roman" w:hAnsi="Times New Roman" w:cs="Times New Roman"/>
          <w:sz w:val="22"/>
          <w:szCs w:val="24"/>
        </w:rPr>
        <w:t xml:space="preserve"> </w:t>
      </w:r>
      <w:r>
        <w:rPr>
          <w:rFonts w:hint="default" w:ascii="Times New Roman" w:hAnsi="Times New Roman" w:cs="Times New Roman"/>
          <w:color w:val="000000" w:themeColor="text1"/>
          <w:lang w:eastAsia="zh-CN"/>
          <w14:textFill>
            <w14:solidFill>
              <w14:schemeClr w14:val="tx1"/>
            </w14:solidFill>
          </w14:textFill>
        </w:rPr>
        <w:t>(a) Information on 8 patients from the GSA-Human database and 8 patients from the Orthopedics Department of Peking University Shenzhen Hospital.</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(b) Abbreviations, full names, and marker genes of major cell subtypes.</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(c) t-Distributed Stochastic Neighbor Embedding (tSNE_2) and Uniform Manifold Approximation and Projection (UMAP) plots showing cell clustering results of the scRNA-seq.</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(d) Annotation of cell populations based on known cell markers using the SingleR package.</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(e) Genes related to each single-cell type and their expression in different cell types inferred by SingleR.</w:t>
      </w:r>
    </w:p>
    <w:p w14:paraId="1AFAE6AD">
      <w:pPr>
        <w:pStyle w:val="13"/>
        <w:adjustRightInd/>
        <w:snapToGrid/>
        <w:spacing w:line="240" w:lineRule="auto"/>
        <w:ind w:left="0" w:firstLine="0"/>
        <w:rPr>
          <w:rFonts w:hint="default" w:ascii="Times New Roman" w:hAnsi="Times New Roman" w:cs="Times New Roman"/>
          <w:b/>
          <w:bCs/>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3. </w:t>
      </w:r>
      <w:r>
        <w:rPr>
          <w:rFonts w:hint="default" w:ascii="Times New Roman" w:hAnsi="Times New Roman" w:cs="Times New Roman"/>
          <w:b/>
          <w:bCs/>
          <w:color w:val="000000" w:themeColor="text1"/>
          <w:lang w:eastAsia="zh-CN"/>
          <w14:textFill>
            <w14:solidFill>
              <w14:schemeClr w14:val="tx1"/>
            </w14:solidFill>
          </w14:textFill>
        </w:rPr>
        <w:t>The violin plot revealed the expression of major class markers.</w:t>
      </w:r>
    </w:p>
    <w:p w14:paraId="26704ADF">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4.</w:t>
      </w:r>
      <w:r>
        <w:rPr>
          <w:rFonts w:hint="default" w:ascii="Times New Roman" w:hAnsi="Times New Roman" w:cs="Times New Roman"/>
          <w:b/>
          <w:bCs/>
          <w:color w:val="000000" w:themeColor="text1"/>
          <w:lang w:eastAsia="zh-CN"/>
          <w14:textFill>
            <w14:solidFill>
              <w14:schemeClr w14:val="tx1"/>
            </w14:solidFill>
          </w14:textFill>
        </w:rPr>
        <w:t xml:space="preserve"> The expression levels of major class markers shown on UMAP plots.</w:t>
      </w:r>
    </w:p>
    <w:p w14:paraId="3CF5268D">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5. </w:t>
      </w:r>
      <w:r>
        <w:rPr>
          <w:rFonts w:hint="default" w:ascii="Times New Roman" w:hAnsi="Times New Roman" w:cs="Times New Roman"/>
          <w:b/>
          <w:bCs/>
          <w:color w:val="000000" w:themeColor="text1"/>
          <w:lang w:eastAsia="zh-CN"/>
          <w14:textFill>
            <w14:solidFill>
              <w14:schemeClr w14:val="tx1"/>
            </w14:solidFill>
          </w14:textFill>
        </w:rPr>
        <w:t>Expression of major markers of cell subtypes</w:t>
      </w:r>
      <w:r>
        <w:rPr>
          <w:rFonts w:hint="default" w:ascii="Times New Roman" w:hAnsi="Times New Roman" w:cs="Times New Roman"/>
          <w:b/>
          <w:bCs/>
          <w:sz w:val="22"/>
          <w:szCs w:val="24"/>
        </w:rPr>
        <w:t>:</w:t>
      </w:r>
      <w:r>
        <w:rPr>
          <w:rFonts w:hint="default" w:ascii="Times New Roman" w:hAnsi="Times New Roman" w:cs="Times New Roman"/>
          <w:sz w:val="22"/>
          <w:szCs w:val="24"/>
        </w:rPr>
        <w:t xml:space="preserve"> </w:t>
      </w:r>
      <w:r>
        <w:rPr>
          <w:rFonts w:hint="default" w:ascii="Times New Roman" w:hAnsi="Times New Roman" w:cs="Times New Roman"/>
          <w:color w:val="000000" w:themeColor="text1"/>
          <w:lang w:eastAsia="zh-CN"/>
          <w14:textFill>
            <w14:solidFill>
              <w14:schemeClr w14:val="tx1"/>
            </w14:solidFill>
          </w14:textFill>
        </w:rPr>
        <w:t>(a) Expression of differentially expressed genes in subtypes of synovial fibroblasts and meniscus chondrocytes.</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(b) Expression of differentially expressed genes in immune cell subtypes.</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(c) Expression of differentially expressed genes in endothelial cell subtypes.</w:t>
      </w:r>
    </w:p>
    <w:p w14:paraId="23D4CB63">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6. </w:t>
      </w:r>
      <w:r>
        <w:rPr>
          <w:rFonts w:hint="default" w:ascii="Times New Roman" w:hAnsi="Times New Roman" w:cs="Times New Roman"/>
          <w:b/>
          <w:bCs/>
          <w:color w:val="000000" w:themeColor="text1"/>
          <w:lang w:eastAsia="zh-CN"/>
          <w14:textFill>
            <w14:solidFill>
              <w14:schemeClr w14:val="tx1"/>
            </w14:solidFill>
          </w14:textFill>
        </w:rPr>
        <w:t>Cross-talk analysis of OA-related pathways</w:t>
      </w:r>
      <w:r>
        <w:rPr>
          <w:rFonts w:hint="default" w:ascii="Times New Roman" w:hAnsi="Times New Roman" w:cs="Times New Roman"/>
          <w:b/>
          <w:bCs/>
          <w:sz w:val="22"/>
          <w:szCs w:val="24"/>
        </w:rPr>
        <w:t>:</w:t>
      </w:r>
      <w:r>
        <w:rPr>
          <w:rFonts w:hint="default" w:ascii="Times New Roman" w:hAnsi="Times New Roman" w:cs="Times New Roman"/>
          <w:sz w:val="22"/>
          <w:szCs w:val="24"/>
        </w:rPr>
        <w:t xml:space="preserve"> </w:t>
      </w:r>
      <w:r>
        <w:rPr>
          <w:rFonts w:hint="default" w:ascii="Times New Roman" w:hAnsi="Times New Roman" w:cs="Times New Roman"/>
          <w:color w:val="000000" w:themeColor="text1"/>
          <w:lang w:eastAsia="zh-CN"/>
          <w14:textFill>
            <w14:solidFill>
              <w14:schemeClr w14:val="tx1"/>
            </w14:solidFill>
          </w14:textFill>
        </w:rPr>
        <w:t>(a) Cross-talk analysis of IGF Pathway, PTN Pathway, MK Pathway, and FGF Pathway in different groups.</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(b) Receptor-ligand interaction analysis in Normal Meniscus, Degenerated Meniscus, Normal Synovium, and Degenerated Synovium.</w:t>
      </w:r>
    </w:p>
    <w:p w14:paraId="358B587A">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color w:val="000000" w:themeColor="text1"/>
          <w:sz w:val="22"/>
          <w:szCs w:val="24"/>
          <w14:textFill>
            <w14:solidFill>
              <w14:schemeClr w14:val="tx1"/>
            </w14:solidFill>
          </w14:textFill>
        </w:rPr>
        <w:t>Supplementary Fig.</w:t>
      </w:r>
      <w:r>
        <w:rPr>
          <w:rFonts w:hint="default" w:ascii="Times New Roman" w:hAnsi="Times New Roman" w:cs="Times New Roman"/>
          <w:b/>
          <w:bCs/>
          <w:color w:val="000000" w:themeColor="text1"/>
          <w:sz w:val="22"/>
          <w:szCs w:val="24"/>
          <w14:textFill>
            <w14:solidFill>
              <w14:schemeClr w14:val="tx1"/>
            </w14:solidFill>
          </w14:textFill>
        </w:rPr>
        <w:t xml:space="preserve"> 7. </w:t>
      </w:r>
      <w:r>
        <w:rPr>
          <w:rFonts w:hint="default" w:ascii="Times New Roman" w:hAnsi="Times New Roman" w:cs="Times New Roman"/>
          <w:b/>
          <w:bCs/>
          <w:color w:val="000000" w:themeColor="text1"/>
          <w:lang w:eastAsia="zh-CN"/>
          <w14:textFill>
            <w14:solidFill>
              <w14:schemeClr w14:val="tx1"/>
            </w14:solidFill>
          </w14:textFill>
        </w:rPr>
        <w:t>Cross-talk analysis in cartilage regulatory pathways. </w:t>
      </w:r>
      <w:r>
        <w:rPr>
          <w:rFonts w:hint="default" w:ascii="Times New Roman" w:hAnsi="Times New Roman" w:cs="Times New Roman"/>
          <w:color w:val="000000" w:themeColor="text1"/>
          <w:lang w:eastAsia="zh-CN"/>
          <w14:textFill>
            <w14:solidFill>
              <w14:schemeClr w14:val="tx1"/>
            </w14:solidFill>
          </w14:textFill>
        </w:rPr>
        <w:t>Cross-talk analysis of ANGPTL Pathway, and PROS Pathway in different groups.</w:t>
      </w:r>
    </w:p>
    <w:p w14:paraId="3DCE0D0C">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color w:val="000000" w:themeColor="text1"/>
          <w:sz w:val="22"/>
          <w:szCs w:val="24"/>
          <w14:textFill>
            <w14:solidFill>
              <w14:schemeClr w14:val="tx1"/>
            </w14:solidFill>
          </w14:textFill>
        </w:rPr>
        <w:t>Supplementary Fig.</w:t>
      </w:r>
      <w:r>
        <w:rPr>
          <w:rFonts w:hint="default" w:ascii="Times New Roman" w:hAnsi="Times New Roman" w:cs="Times New Roman"/>
          <w:b/>
          <w:bCs/>
          <w:color w:val="000000" w:themeColor="text1"/>
          <w:sz w:val="22"/>
          <w:szCs w:val="24"/>
          <w14:textFill>
            <w14:solidFill>
              <w14:schemeClr w14:val="tx1"/>
            </w14:solidFill>
          </w14:textFill>
        </w:rPr>
        <w:t xml:space="preserve"> 8. </w:t>
      </w:r>
      <w:r>
        <w:rPr>
          <w:rFonts w:hint="default" w:ascii="Times New Roman" w:hAnsi="Times New Roman" w:cs="Times New Roman"/>
          <w:b/>
          <w:bCs/>
          <w:color w:val="000000" w:themeColor="text1"/>
          <w:lang w:eastAsia="zh-CN"/>
          <w14:textFill>
            <w14:solidFill>
              <w14:schemeClr w14:val="tx1"/>
            </w14:solidFill>
          </w14:textFill>
        </w:rPr>
        <w:t>Cross-talk analysis in cartilage regulatory pathways.</w:t>
      </w:r>
      <w:r>
        <w:rPr>
          <w:rFonts w:hint="default" w:ascii="Times New Roman" w:hAnsi="Times New Roman" w:cs="Times New Roman"/>
          <w:color w:val="000000" w:themeColor="text1"/>
          <w:lang w:eastAsia="zh-CN"/>
          <w14:textFill>
            <w14:solidFill>
              <w14:schemeClr w14:val="tx1"/>
            </w14:solidFill>
          </w14:textFill>
        </w:rPr>
        <w:t xml:space="preserve"> Cross-talk analysis of PDGF Pathway in different groups.</w:t>
      </w:r>
    </w:p>
    <w:p w14:paraId="24D75F33">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color w:val="000000" w:themeColor="text1"/>
          <w:sz w:val="22"/>
          <w:szCs w:val="24"/>
          <w14:textFill>
            <w14:solidFill>
              <w14:schemeClr w14:val="tx1"/>
            </w14:solidFill>
          </w14:textFill>
        </w:rPr>
        <w:t>Supplementary Fig.</w:t>
      </w:r>
      <w:r>
        <w:rPr>
          <w:rFonts w:hint="default" w:ascii="Times New Roman" w:hAnsi="Times New Roman" w:cs="Times New Roman"/>
          <w:b/>
          <w:bCs/>
          <w:color w:val="000000" w:themeColor="text1"/>
          <w:sz w:val="22"/>
          <w:szCs w:val="24"/>
          <w14:textFill>
            <w14:solidFill>
              <w14:schemeClr w14:val="tx1"/>
            </w14:solidFill>
          </w14:textFill>
        </w:rPr>
        <w:t xml:space="preserve"> 9. </w:t>
      </w:r>
      <w:r>
        <w:rPr>
          <w:rFonts w:hint="default" w:ascii="Times New Roman" w:hAnsi="Times New Roman" w:cs="Times New Roman"/>
          <w:b/>
          <w:bCs/>
          <w:color w:val="000000" w:themeColor="text1"/>
          <w:lang w:eastAsia="zh-CN"/>
          <w14:textFill>
            <w14:solidFill>
              <w14:schemeClr w14:val="tx1"/>
            </w14:solidFill>
          </w14:textFill>
        </w:rPr>
        <w:t>Cross-talk analysis in neovascularization pathways.</w:t>
      </w:r>
      <w:r>
        <w:rPr>
          <w:rFonts w:hint="default" w:ascii="Times New Roman" w:hAnsi="Times New Roman" w:cs="Times New Roman"/>
          <w:color w:val="000000" w:themeColor="text1"/>
          <w:lang w:eastAsia="zh-CN"/>
          <w14:textFill>
            <w14:solidFill>
              <w14:schemeClr w14:val="tx1"/>
            </w14:solidFill>
          </w14:textFill>
        </w:rPr>
        <w:t> Cross-talk analysis of VISFATIN Pathway, and VEGF Pathway in different groups.</w:t>
      </w:r>
    </w:p>
    <w:p w14:paraId="756BF932">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color w:val="000000" w:themeColor="text1"/>
          <w:sz w:val="22"/>
          <w:szCs w:val="24"/>
          <w14:textFill>
            <w14:solidFill>
              <w14:schemeClr w14:val="tx1"/>
            </w14:solidFill>
          </w14:textFill>
        </w:rPr>
        <w:t>Supplementary Fig.</w:t>
      </w:r>
      <w:r>
        <w:rPr>
          <w:rFonts w:hint="default" w:ascii="Times New Roman" w:hAnsi="Times New Roman" w:cs="Times New Roman"/>
          <w:b/>
          <w:bCs/>
          <w:color w:val="000000" w:themeColor="text1"/>
          <w:sz w:val="22"/>
          <w:szCs w:val="24"/>
          <w14:textFill>
            <w14:solidFill>
              <w14:schemeClr w14:val="tx1"/>
            </w14:solidFill>
          </w14:textFill>
        </w:rPr>
        <w:t xml:space="preserve"> 10. </w:t>
      </w:r>
      <w:r>
        <w:rPr>
          <w:rFonts w:hint="default" w:ascii="Times New Roman" w:hAnsi="Times New Roman" w:cs="Times New Roman"/>
          <w:b/>
          <w:bCs/>
          <w:color w:val="000000" w:themeColor="text1"/>
          <w:lang w:eastAsia="zh-CN"/>
          <w14:textFill>
            <w14:solidFill>
              <w14:schemeClr w14:val="tx1"/>
            </w14:solidFill>
          </w14:textFill>
        </w:rPr>
        <w:t xml:space="preserve">Cross-talk analysis in neovascularization pathways. </w:t>
      </w:r>
      <w:r>
        <w:rPr>
          <w:rFonts w:hint="default" w:ascii="Times New Roman" w:hAnsi="Times New Roman" w:cs="Times New Roman"/>
          <w:color w:val="000000" w:themeColor="text1"/>
          <w:lang w:eastAsia="zh-CN"/>
          <w14:textFill>
            <w14:solidFill>
              <w14:schemeClr w14:val="tx1"/>
            </w14:solidFill>
          </w14:textFill>
        </w:rPr>
        <w:t>Cross-talk analysis of SEMA3 Pathway in different groups.</w:t>
      </w:r>
    </w:p>
    <w:p w14:paraId="4A43F2EB">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color w:val="000000" w:themeColor="text1"/>
          <w:sz w:val="22"/>
          <w:szCs w:val="24"/>
          <w14:textFill>
            <w14:solidFill>
              <w14:schemeClr w14:val="tx1"/>
            </w14:solidFill>
          </w14:textFill>
        </w:rPr>
        <w:t>Supplementary Fig.</w:t>
      </w:r>
      <w:r>
        <w:rPr>
          <w:rFonts w:hint="default" w:ascii="Times New Roman" w:hAnsi="Times New Roman" w:cs="Times New Roman"/>
          <w:b/>
          <w:bCs/>
          <w:color w:val="000000" w:themeColor="text1"/>
          <w:sz w:val="22"/>
          <w:szCs w:val="24"/>
          <w14:textFill>
            <w14:solidFill>
              <w14:schemeClr w14:val="tx1"/>
            </w14:solidFill>
          </w14:textFill>
        </w:rPr>
        <w:t xml:space="preserve"> 11. </w:t>
      </w:r>
      <w:r>
        <w:rPr>
          <w:rFonts w:hint="default" w:ascii="Times New Roman" w:hAnsi="Times New Roman" w:cs="Times New Roman"/>
          <w:b/>
          <w:bCs/>
          <w:color w:val="000000" w:themeColor="text1"/>
          <w:lang w:eastAsia="zh-CN"/>
          <w14:textFill>
            <w14:solidFill>
              <w14:schemeClr w14:val="tx1"/>
            </w14:solidFill>
          </w14:textFill>
        </w:rPr>
        <w:t>Cross-talk analysis in macrophage polarization pathways. </w:t>
      </w:r>
      <w:r>
        <w:rPr>
          <w:rFonts w:hint="default" w:ascii="Times New Roman" w:hAnsi="Times New Roman" w:cs="Times New Roman"/>
          <w:color w:val="000000" w:themeColor="text1"/>
          <w:lang w:eastAsia="zh-CN"/>
          <w14:textFill>
            <w14:solidFill>
              <w14:schemeClr w14:val="tx1"/>
            </w14:solidFill>
          </w14:textFill>
        </w:rPr>
        <w:t>Cross-talk analysis of GALECTIN Pathway, and CXCL Pathway in different groups.</w:t>
      </w:r>
    </w:p>
    <w:p w14:paraId="2BCAEFAC">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color w:val="000000" w:themeColor="text1"/>
          <w:sz w:val="22"/>
          <w:szCs w:val="24"/>
          <w14:textFill>
            <w14:solidFill>
              <w14:schemeClr w14:val="tx1"/>
            </w14:solidFill>
          </w14:textFill>
        </w:rPr>
        <w:t>Supplementary Fig.</w:t>
      </w:r>
      <w:r>
        <w:rPr>
          <w:rFonts w:hint="default" w:ascii="Times New Roman" w:hAnsi="Times New Roman" w:cs="Times New Roman"/>
          <w:b/>
          <w:bCs/>
          <w:color w:val="000000" w:themeColor="text1"/>
          <w:sz w:val="22"/>
          <w:szCs w:val="24"/>
          <w14:textFill>
            <w14:solidFill>
              <w14:schemeClr w14:val="tx1"/>
            </w14:solidFill>
          </w14:textFill>
        </w:rPr>
        <w:t xml:space="preserve"> 12.</w:t>
      </w:r>
      <w:r>
        <w:rPr>
          <w:rFonts w:hint="default" w:ascii="Times New Roman" w:hAnsi="Times New Roman" w:cs="Times New Roman"/>
          <w:b/>
          <w:bCs/>
          <w:color w:val="000000" w:themeColor="text1"/>
          <w:lang w:eastAsia="zh-CN"/>
          <w14:textFill>
            <w14:solidFill>
              <w14:schemeClr w14:val="tx1"/>
            </w14:solidFill>
          </w14:textFill>
        </w:rPr>
        <w:t xml:space="preserve"> Cross-talk analysis in macrophage polarization pathways.</w:t>
      </w:r>
      <w:r>
        <w:rPr>
          <w:rFonts w:hint="default" w:ascii="Times New Roman" w:hAnsi="Times New Roman" w:cs="Times New Roman"/>
          <w:color w:val="000000" w:themeColor="text1"/>
          <w:lang w:eastAsia="zh-CN"/>
          <w14:textFill>
            <w14:solidFill>
              <w14:schemeClr w14:val="tx1"/>
            </w14:solidFill>
          </w14:textFill>
        </w:rPr>
        <w:t> Cross-talk analysis of TGF</w:t>
      </w:r>
      <w:r>
        <w:rPr>
          <w:rFonts w:hint="default" w:ascii="Times New Roman" w:hAnsi="Times New Roman" w:cs="Times New Roman"/>
          <w:color w:val="000000" w:themeColor="text1"/>
          <w:lang w:eastAsia="zh-CN"/>
          <w14:textFill>
            <w14:solidFill>
              <w14:schemeClr w14:val="tx1"/>
            </w14:solidFill>
          </w14:textFill>
        </w:rPr>
        <w:t>β</w:t>
      </w:r>
      <w:r>
        <w:rPr>
          <w:rFonts w:hint="default" w:ascii="Times New Roman" w:hAnsi="Times New Roman" w:cs="Times New Roman"/>
          <w:color w:val="000000" w:themeColor="text1"/>
          <w:lang w:eastAsia="zh-CN"/>
          <w14:textFill>
            <w14:solidFill>
              <w14:schemeClr w14:val="tx1"/>
            </w14:solidFill>
          </w14:textFill>
        </w:rPr>
        <w:t xml:space="preserve"> Pathway in different groups.</w:t>
      </w:r>
    </w:p>
    <w:p w14:paraId="3B42583A">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color w:val="000000" w:themeColor="text1"/>
          <w:sz w:val="22"/>
          <w:szCs w:val="24"/>
          <w14:textFill>
            <w14:solidFill>
              <w14:schemeClr w14:val="tx1"/>
            </w14:solidFill>
          </w14:textFill>
        </w:rPr>
        <w:t>Supplementary Fig.</w:t>
      </w:r>
      <w:r>
        <w:rPr>
          <w:rFonts w:hint="default" w:ascii="Times New Roman" w:hAnsi="Times New Roman" w:cs="Times New Roman"/>
          <w:b/>
          <w:bCs/>
          <w:color w:val="000000" w:themeColor="text1"/>
          <w:sz w:val="22"/>
          <w:szCs w:val="24"/>
          <w14:textFill>
            <w14:solidFill>
              <w14:schemeClr w14:val="tx1"/>
            </w14:solidFill>
          </w14:textFill>
        </w:rPr>
        <w:t xml:space="preserve"> 13. </w:t>
      </w:r>
      <w:r>
        <w:rPr>
          <w:rFonts w:hint="default" w:ascii="Times New Roman" w:hAnsi="Times New Roman" w:cs="Times New Roman"/>
          <w:b/>
          <w:bCs/>
          <w:color w:val="000000" w:themeColor="text1"/>
          <w:lang w:eastAsia="zh-CN"/>
          <w14:textFill>
            <w14:solidFill>
              <w14:schemeClr w14:val="tx1"/>
            </w14:solidFill>
          </w14:textFill>
        </w:rPr>
        <w:t>Cross-talk analysis in inner meniscus samples.</w:t>
      </w:r>
      <w:r>
        <w:rPr>
          <w:rFonts w:hint="default" w:ascii="Times New Roman" w:hAnsi="Times New Roman" w:cs="Times New Roman"/>
          <w:color w:val="000000" w:themeColor="text1"/>
          <w:lang w:eastAsia="zh-CN"/>
          <w14:textFill>
            <w14:solidFill>
              <w14:schemeClr w14:val="tx1"/>
            </w14:solidFill>
          </w14:textFill>
        </w:rPr>
        <w:t> Cross-talk analysis of key osteoarthritis pathways, including the insulin-like growth factor (IGF), pleiotrophin (PTN), fibroblast growth factor (FGF), and Midkine (MK) pathways; cartilage regulatory pathways, such as angiopoietin-like protein (ANGPTL), protein S (PROS), and platelet-derived growth factor (PDGF) pathways; neovascularization pathways, including VISFATIN, vascular endothelial growth factor (VEGF), and semaphorin 3 (SEMA3) pathways; and macrophage polarization pathways, such as the GALECTIN pathway, CXCL pathway, and transforming growth factor beta (TGF-β) pathway, in inner meniscus samples.</w:t>
      </w:r>
    </w:p>
    <w:p w14:paraId="3898F51C">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14.</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b/>
          <w:bCs/>
          <w:color w:val="000000" w:themeColor="text1"/>
          <w:lang w:eastAsia="zh-CN"/>
          <w14:textFill>
            <w14:solidFill>
              <w14:schemeClr w14:val="tx1"/>
            </w14:solidFill>
          </w14:textFill>
        </w:rPr>
        <w:t>Functional enrichment of HALLMARK TNFA SIGNALING VIA NFKB. Described by GSEA and scMetabolism in normal and degenerated meniscus and synovium samples</w:t>
      </w:r>
      <w:r>
        <w:rPr>
          <w:rFonts w:hint="default" w:ascii="Times New Roman" w:hAnsi="Times New Roman" w:cs="Times New Roman"/>
          <w:b/>
          <w:bCs/>
          <w:sz w:val="22"/>
          <w:szCs w:val="24"/>
        </w:rPr>
        <w:t>:</w:t>
      </w:r>
      <w:r>
        <w:rPr>
          <w:rFonts w:hint="default" w:ascii="Times New Roman" w:hAnsi="Times New Roman" w:cs="Times New Roman"/>
          <w:color w:val="000000" w:themeColor="text1"/>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(a) In CXCL14+ fibroblasts (CXCL14+ Fibs) and synovial sublining fibroblasts (SSFs), inflammation-related gene sets are highly expressed in normal synovial samples compared to normal meniscus samples. In contrast, these gene sets show higher expression levels in degenerated meniscus samples than in degenerated synovial samples. When considering synovial and meniscus samples as a whole, these inflammation-related gene sets are highly expressed in inflammatory meniscus and synovial samples in SSF, Fibroblast_1 (Fib_1), Chondrocyte_1 (Ch.1), and Chondrocyte_4 (Ch.4) cells. (b) Conversely, in CXCL14+ Fibs, synovial lining fibroblasts (SIFs), and Chondrocyte_2 (Ch.2) cells, the inflammation-related gene set "HALLMARK TNFA SIGNALING VIA NFKB" is expressed at lower levels in degenerated samples.</w:t>
      </w:r>
    </w:p>
    <w:p w14:paraId="5F00146D">
      <w:pPr>
        <w:pStyle w:val="13"/>
        <w:adjustRightInd/>
        <w:snapToGrid/>
        <w:spacing w:line="240" w:lineRule="auto"/>
        <w:ind w:left="0" w:firstLine="0"/>
        <w:rPr>
          <w:rFonts w:hint="default" w:ascii="Times New Roman" w:hAnsi="Times New Roman" w:cs="Times New Roman"/>
          <w:b/>
          <w:bCs/>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15. </w:t>
      </w:r>
      <w:r>
        <w:rPr>
          <w:rFonts w:hint="default" w:ascii="Times New Roman" w:hAnsi="Times New Roman" w:cs="Times New Roman"/>
          <w:b/>
          <w:bCs/>
          <w:color w:val="000000" w:themeColor="text1"/>
          <w:lang w:eastAsia="zh-CN"/>
          <w14:textFill>
            <w14:solidFill>
              <w14:schemeClr w14:val="tx1"/>
            </w14:solidFill>
          </w14:textFill>
        </w:rPr>
        <w:t>Functional enrichment of HALLMARK HYPOXIA</w:t>
      </w:r>
      <w:r>
        <w:rPr>
          <w:rFonts w:hint="default" w:ascii="Times New Roman" w:hAnsi="Times New Roman" w:cs="Times New Roman"/>
          <w:b/>
          <w:bCs/>
          <w:sz w:val="22"/>
          <w:szCs w:val="24"/>
        </w:rPr>
        <w:t>:</w:t>
      </w:r>
      <w:r>
        <w:rPr>
          <w:rFonts w:hint="default" w:ascii="Times New Roman" w:hAnsi="Times New Roman" w:cs="Times New Roman"/>
          <w:sz w:val="22"/>
          <w:szCs w:val="24"/>
        </w:rPr>
        <w:t xml:space="preserve"> </w:t>
      </w:r>
      <w:r>
        <w:rPr>
          <w:rFonts w:hint="default" w:ascii="Times New Roman" w:hAnsi="Times New Roman" w:eastAsia="宋体" w:cs="Times New Roman"/>
          <w:b/>
          <w:bCs/>
          <w:color w:val="000000" w:themeColor="text1"/>
          <w:lang w:eastAsia="zh-CN"/>
          <w14:textFill>
            <w14:solidFill>
              <w14:schemeClr w14:val="tx1"/>
            </w14:solidFill>
          </w14:textFill>
        </w:rPr>
        <w:t>(a)</w:t>
      </w:r>
      <w:r>
        <w:rPr>
          <w:rFonts w:hint="default" w:ascii="Times New Roman" w:hAnsi="Times New Roman" w:cs="Times New Roman"/>
          <w:b/>
          <w:bCs/>
          <w:color w:val="000000" w:themeColor="text1"/>
          <w:lang w:eastAsia="zh-CN"/>
          <w14:textFill>
            <w14:solidFill>
              <w14:schemeClr w14:val="tx1"/>
            </w14:solidFill>
          </w14:textFill>
        </w:rPr>
        <w:t xml:space="preserve"> and HALLMARK APOPTOSIS</w:t>
      </w:r>
      <w:r>
        <w:rPr>
          <w:rFonts w:hint="default" w:ascii="Times New Roman" w:hAnsi="Times New Roman" w:eastAsia="宋体" w:cs="Times New Roman"/>
          <w:b/>
          <w:bCs/>
          <w:color w:val="000000" w:themeColor="text1"/>
          <w:lang w:eastAsia="zh-CN"/>
          <w14:textFill>
            <w14:solidFill>
              <w14:schemeClr w14:val="tx1"/>
            </w14:solidFill>
          </w14:textFill>
        </w:rPr>
        <w:t>(b)</w:t>
      </w:r>
      <w:r>
        <w:rPr>
          <w:rFonts w:hint="default" w:ascii="Times New Roman" w:hAnsi="Times New Roman" w:cs="Times New Roman"/>
          <w:b/>
          <w:bCs/>
          <w:color w:val="000000" w:themeColor="text1"/>
          <w:lang w:eastAsia="zh-CN"/>
          <w14:textFill>
            <w14:solidFill>
              <w14:schemeClr w14:val="tx1"/>
            </w14:solidFill>
          </w14:textFill>
        </w:rPr>
        <w:t>. Described by GSEA and scMetabolism in normal and degenerated meniscus and synovium samples.</w:t>
      </w:r>
    </w:p>
    <w:p w14:paraId="24EEF5FF">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snapToGrid/>
          <w:sz w:val="22"/>
          <w:szCs w:val="24"/>
        </w:rPr>
        <w:t>Supplementary Fig.</w:t>
      </w:r>
      <w:r>
        <w:rPr>
          <w:rFonts w:hint="default" w:ascii="Times New Roman" w:hAnsi="Times New Roman" w:cs="Times New Roman"/>
          <w:b/>
          <w:bCs/>
          <w:snapToGrid/>
          <w:sz w:val="22"/>
          <w:szCs w:val="24"/>
        </w:rPr>
        <w:t xml:space="preserve"> </w:t>
      </w:r>
      <w:r>
        <w:rPr>
          <w:rFonts w:hint="default" w:ascii="Times New Roman" w:hAnsi="Times New Roman" w:cs="Times New Roman"/>
          <w:b/>
          <w:bCs/>
          <w:snapToGrid/>
          <w:sz w:val="22"/>
          <w:szCs w:val="24"/>
        </w:rPr>
        <w:t>1</w:t>
      </w:r>
      <w:r>
        <w:rPr>
          <w:rFonts w:hint="default" w:ascii="Times New Roman" w:hAnsi="Times New Roman" w:cs="Times New Roman"/>
          <w:b/>
          <w:bCs/>
          <w:snapToGrid/>
          <w:sz w:val="22"/>
          <w:szCs w:val="24"/>
        </w:rPr>
        <w:t>6. GO_BP Analysis of Degenerated (Meniscus and Synovium) vs. Normal (Meniscus and Synovium):</w:t>
      </w:r>
      <w:r>
        <w:rPr>
          <w:rFonts w:hint="default" w:ascii="Times New Roman" w:hAnsi="Times New Roman" w:cs="Times New Roman"/>
          <w:b/>
          <w:bCs/>
          <w:sz w:val="22"/>
        </w:rPr>
        <w:t xml:space="preserve"> </w:t>
      </w:r>
      <w:r>
        <w:rPr>
          <w:rFonts w:hint="default" w:ascii="Times New Roman" w:hAnsi="Times New Roman" w:cs="Times New Roman"/>
          <w:color w:val="000000" w:themeColor="text1"/>
          <w:lang w:eastAsia="zh-CN"/>
          <w14:textFill>
            <w14:solidFill>
              <w14:schemeClr w14:val="tx1"/>
            </w14:solidFill>
          </w14:textFill>
        </w:rPr>
        <w:t xml:space="preserve">(a) Compared to normal samples, GO_BP terms related to inflammatory injury, such as "response to reactive oxygen species," were downregulated in Ch2 cells and </w:t>
      </w:r>
      <w:r>
        <w:rPr>
          <w:rFonts w:hint="default" w:ascii="Times New Roman" w:hAnsi="Times New Roman" w:cs="Times New Roman"/>
          <w:i/>
          <w:iCs/>
          <w:color w:val="000000" w:themeColor="text1"/>
          <w14:textFill>
            <w14:solidFill>
              <w14:schemeClr w14:val="tx1"/>
            </w14:solidFill>
          </w14:textFill>
        </w:rPr>
        <w:t>CXCL14</w:t>
      </w:r>
      <w:r>
        <w:rPr>
          <w:rFonts w:hint="default" w:ascii="Times New Roman" w:hAnsi="Times New Roman" w:cs="Times New Roman"/>
          <w:color w:val="000000" w:themeColor="text1"/>
          <w14:textFill>
            <w14:solidFill>
              <w14:schemeClr w14:val="tx1"/>
            </w14:solidFill>
          </w14:textFill>
        </w:rPr>
        <w:t>+ Fibs</w:t>
      </w:r>
      <w:r>
        <w:rPr>
          <w:rFonts w:hint="default" w:ascii="Times New Roman" w:hAnsi="Times New Roman" w:cs="Times New Roman"/>
          <w:color w:val="000000" w:themeColor="text1"/>
          <w:lang w:eastAsia="zh-CN"/>
          <w14:textFill>
            <w14:solidFill>
              <w14:schemeClr w14:val="tx1"/>
            </w14:solidFill>
          </w14:textFill>
        </w:rPr>
        <w:t xml:space="preserve"> in degenerated samples. (b) GO_BP terms related to ATP metabolic process and OA anti-inflammatory repair were upregulated in Ch2 cells and </w:t>
      </w:r>
      <w:r>
        <w:rPr>
          <w:rFonts w:hint="default" w:ascii="Times New Roman" w:hAnsi="Times New Roman" w:cs="Times New Roman"/>
          <w:i/>
          <w:iCs/>
          <w:color w:val="000000" w:themeColor="text1"/>
          <w14:textFill>
            <w14:solidFill>
              <w14:schemeClr w14:val="tx1"/>
            </w14:solidFill>
          </w14:textFill>
        </w:rPr>
        <w:t>CXCL14</w:t>
      </w:r>
      <w:r>
        <w:rPr>
          <w:rFonts w:hint="default" w:ascii="Times New Roman" w:hAnsi="Times New Roman" w:cs="Times New Roman"/>
          <w:color w:val="000000" w:themeColor="text1"/>
          <w14:textFill>
            <w14:solidFill>
              <w14:schemeClr w14:val="tx1"/>
            </w14:solidFill>
          </w14:textFill>
        </w:rPr>
        <w:t>+ Fibs</w:t>
      </w:r>
      <w:r>
        <w:rPr>
          <w:rFonts w:hint="default" w:ascii="Times New Roman" w:hAnsi="Times New Roman" w:cs="Times New Roman"/>
          <w:color w:val="000000" w:themeColor="text1"/>
          <w:lang w:eastAsia="zh-CN"/>
          <w14:textFill>
            <w14:solidFill>
              <w14:schemeClr w14:val="tx1"/>
            </w14:solidFill>
          </w14:textFill>
        </w:rPr>
        <w:t xml:space="preserve"> in degenerated samples compared to normal samples.</w:t>
      </w:r>
    </w:p>
    <w:p w14:paraId="0F85DD17">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w:t>
      </w:r>
      <w:r>
        <w:rPr>
          <w:rFonts w:hint="default" w:ascii="Times New Roman" w:hAnsi="Times New Roman" w:cs="Times New Roman"/>
          <w:b/>
          <w:bCs/>
          <w:sz w:val="22"/>
          <w:szCs w:val="24"/>
          <w:lang w:eastAsia="zh-CN"/>
        </w:rPr>
        <w:t>1</w:t>
      </w:r>
      <w:r>
        <w:rPr>
          <w:rFonts w:hint="default" w:ascii="Times New Roman" w:hAnsi="Times New Roman" w:cs="Times New Roman"/>
          <w:b/>
          <w:bCs/>
          <w:sz w:val="22"/>
          <w:szCs w:val="24"/>
          <w:lang w:eastAsia="zh-CN"/>
        </w:rPr>
        <w:t>7</w:t>
      </w:r>
      <w:r>
        <w:rPr>
          <w:rFonts w:hint="default" w:ascii="Times New Roman" w:hAnsi="Times New Roman" w:cs="Times New Roman"/>
          <w:b/>
          <w:bCs/>
          <w:sz w:val="22"/>
          <w:szCs w:val="24"/>
        </w:rPr>
        <w:t xml:space="preserve">. </w:t>
      </w:r>
      <w:r>
        <w:rPr>
          <w:rFonts w:hint="default" w:ascii="Times New Roman" w:hAnsi="Times New Roman" w:cs="Times New Roman"/>
          <w:b/>
          <w:bCs/>
          <w:color w:val="000000" w:themeColor="text1"/>
          <w:lang w:eastAsia="zh-CN"/>
          <w14:textFill>
            <w14:solidFill>
              <w14:schemeClr w14:val="tx1"/>
            </w14:solidFill>
          </w14:textFill>
        </w:rPr>
        <w:t>Functional enrichment analysis reveals differences in fibroblast subtypes</w:t>
      </w:r>
      <w:r>
        <w:rPr>
          <w:rFonts w:hint="default" w:ascii="Times New Roman" w:hAnsi="Times New Roman" w:cs="Times New Roman"/>
          <w:b/>
          <w:bCs/>
          <w:sz w:val="22"/>
          <w:szCs w:val="24"/>
        </w:rPr>
        <w:t>:</w:t>
      </w:r>
      <w:r>
        <w:rPr>
          <w:rFonts w:hint="default" w:ascii="Times New Roman" w:hAnsi="Times New Roman" w:cs="Times New Roman"/>
          <w:sz w:val="22"/>
          <w:szCs w:val="24"/>
        </w:rPr>
        <w:t xml:space="preserve"> </w:t>
      </w:r>
      <w:r>
        <w:rPr>
          <w:rFonts w:hint="default" w:ascii="Times New Roman" w:hAnsi="Times New Roman" w:cs="Times New Roman"/>
          <w:color w:val="000000" w:themeColor="text1"/>
          <w:lang w:eastAsia="zh-CN"/>
          <w14:textFill>
            <w14:solidFill>
              <w14:schemeClr w14:val="tx1"/>
            </w14:solidFill>
          </w14:textFill>
        </w:rPr>
        <w:t>(a) Functional enrichment of HALLMARK TNFA SIGNALING VIA NFKB, and HALLMARK INTERFERON GAMMA RESPONSE in Fib_1 and Fib_2 cells from normal and degenerated meniscus and synovium samples, described by GSEA and scMetabolism.</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(b) GSEA enrichment analysis of HALLMARK EPITHELIAL MESENCHYMAL TRANSITION and</w:t>
      </w:r>
      <w:r>
        <w:rPr>
          <w:rFonts w:hint="default" w:ascii="Times New Roman" w:hAnsi="Times New Roman" w:cs="Times New Roman"/>
          <w:color w:val="000000" w:themeColor="text1"/>
          <w:lang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HALLMARK_TNFA_SIGNALING_VIA_NFKB in Fib_2 cells from Normal and Degenerated samples in meniscus and synovium.</w:t>
      </w:r>
      <w:r>
        <w:rPr>
          <w:rFonts w:hint="default" w:ascii="Times New Roman" w:hAnsi="Times New Roman" w:cs="Times New Roman"/>
          <w:color w:val="000000" w:themeColor="text1"/>
          <w:lang w:eastAsia="zh-CN"/>
          <w14:textFill>
            <w14:solidFill>
              <w14:schemeClr w14:val="tx1"/>
            </w14:solidFill>
          </w14:textFill>
        </w:rPr>
        <w:t xml:space="preserve"> </w:t>
      </w:r>
    </w:p>
    <w:p w14:paraId="2507C271">
      <w:pPr>
        <w:pStyle w:val="13"/>
        <w:adjustRightInd/>
        <w:snapToGrid/>
        <w:spacing w:line="240" w:lineRule="auto"/>
        <w:ind w:left="0" w:firstLine="0"/>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b/>
          <w:bCs/>
          <w:sz w:val="22"/>
          <w:szCs w:val="24"/>
        </w:rPr>
        <w:t>Supplementary Fig.</w:t>
      </w:r>
      <w:r>
        <w:rPr>
          <w:rFonts w:hint="default" w:ascii="Times New Roman" w:hAnsi="Times New Roman" w:cs="Times New Roman"/>
          <w:b/>
          <w:bCs/>
          <w:sz w:val="22"/>
          <w:szCs w:val="24"/>
        </w:rPr>
        <w:t xml:space="preserve"> 1</w:t>
      </w:r>
      <w:r>
        <w:rPr>
          <w:rFonts w:hint="default" w:ascii="Times New Roman" w:hAnsi="Times New Roman" w:cs="Times New Roman"/>
          <w:b/>
          <w:bCs/>
          <w:sz w:val="22"/>
          <w:szCs w:val="24"/>
          <w:lang w:eastAsia="zh-CN"/>
        </w:rPr>
        <w:t>8</w:t>
      </w:r>
      <w:r>
        <w:rPr>
          <w:rFonts w:hint="default" w:ascii="Times New Roman" w:hAnsi="Times New Roman" w:cs="Times New Roman"/>
          <w:b/>
          <w:bCs/>
          <w:sz w:val="22"/>
          <w:szCs w:val="24"/>
        </w:rPr>
        <w:t xml:space="preserve">. </w:t>
      </w:r>
      <w:r>
        <w:rPr>
          <w:rFonts w:hint="default" w:ascii="Times New Roman" w:hAnsi="Times New Roman" w:cs="Times New Roman"/>
          <w:b/>
          <w:bCs/>
          <w:color w:val="000000" w:themeColor="text1"/>
          <w:lang w:eastAsia="zh-CN"/>
          <w14:textFill>
            <w14:solidFill>
              <w14:schemeClr w14:val="tx1"/>
            </w14:solidFill>
          </w14:textFill>
        </w:rPr>
        <w:t>EdU staining was used to assess cell proliferation on the lower surface of the meniscus in both the Norm</w:t>
      </w:r>
      <w:bookmarkStart w:id="0" w:name="_GoBack"/>
      <w:bookmarkEnd w:id="0"/>
      <w:r>
        <w:rPr>
          <w:rFonts w:hint="default" w:ascii="Times New Roman" w:hAnsi="Times New Roman" w:cs="Times New Roman"/>
          <w:b/>
          <w:bCs/>
          <w:color w:val="000000" w:themeColor="text1"/>
          <w:lang w:eastAsia="zh-CN"/>
          <w14:textFill>
            <w14:solidFill>
              <w14:schemeClr w14:val="tx1"/>
            </w14:solidFill>
          </w14:textFill>
        </w:rPr>
        <w:t>al and Degenerated groups</w:t>
      </w:r>
      <w:r>
        <w:rPr>
          <w:rFonts w:hint="default" w:ascii="Times New Roman" w:hAnsi="Times New Roman" w:eastAsia="宋体" w:cs="Times New Roman"/>
          <w:b/>
          <w:bCs/>
          <w:color w:val="000000" w:themeColor="text1"/>
          <w:lang w:eastAsia="zh-CN"/>
          <w14:textFill>
            <w14:solidFill>
              <w14:schemeClr w14:val="tx1"/>
            </w14:solidFill>
          </w14:textFill>
        </w:rPr>
        <w:t>.</w:t>
      </w:r>
      <w:r>
        <w:rPr>
          <w:rFonts w:hint="default" w:ascii="Times New Roman" w:hAnsi="Times New Roman" w:cs="Times New Roman" w:eastAsiaTheme="minorEastAsia"/>
          <w:b/>
          <w:bCs/>
          <w:snapToGrid/>
          <w:color w:val="auto"/>
          <w:kern w:val="2"/>
          <w:sz w:val="21"/>
          <w:lang w:eastAsia="zh-CN" w:bidi="ar-SA"/>
        </w:rPr>
        <w:t xml:space="preserve"> </w:t>
      </w:r>
      <w:r>
        <w:rPr>
          <w:rFonts w:hint="default" w:ascii="Times New Roman" w:hAnsi="Times New Roman" w:eastAsia="宋体" w:cs="Times New Roman"/>
          <w:b/>
          <w:bCs/>
          <w:color w:val="000000" w:themeColor="text1"/>
          <w:lang w:eastAsia="zh-CN"/>
          <w14:textFill>
            <w14:solidFill>
              <w14:schemeClr w14:val="tx1"/>
            </w14:solidFill>
          </w14:textFill>
        </w:rPr>
        <w:t>The spatial distribution of proliferating cells was evaluated in human meniscus samples with different clinical symptoms and radiographic grades (Kellgren-Lawrence grades 0, 3, and 4).</w:t>
      </w:r>
    </w:p>
    <w:p w14:paraId="3BDAD3F7">
      <w:pPr>
        <w:rPr>
          <w:rFonts w:hint="default" w:ascii="Times New Roman" w:hAnsi="Times New Roman" w:cs="Times New Roman"/>
          <w:sz w:val="22"/>
          <w:szCs w:val="24"/>
        </w:rPr>
      </w:pPr>
    </w:p>
    <w:sectPr>
      <w:footerReference r:id="rId3" w:type="default"/>
      <w:type w:val="continuous"/>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Palatino Linotype">
    <w:panose1 w:val="02040502050505030304"/>
    <w:charset w:val="00"/>
    <w:family w:val="roman"/>
    <w:pitch w:val="default"/>
    <w:sig w:usb0="E0000287" w:usb1="40000013" w:usb2="00000000" w:usb3="00000000" w:csb0="2000019F"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A2CD3">
    <w:pPr>
      <w:pStyle w:val="3"/>
      <w:jc w:val="center"/>
    </w:pPr>
    <w:r>
      <w:rPr>
        <w:lang w:val="zh-CN"/>
      </w:rPr>
      <w:t xml:space="preserve"> </w:t>
    </w:r>
    <w:r>
      <w:fldChar w:fldCharType="begin"/>
    </w:r>
    <w:r>
      <w:instrText xml:space="preserve">PAGE  \* Arabic  \* MERGEFORMAT</w:instrText>
    </w:r>
    <w:r>
      <w:fldChar w:fldCharType="separate"/>
    </w:r>
    <w:r>
      <w:rPr>
        <w:lang w:val="zh-CN"/>
      </w:rPr>
      <w:t>2</w:t>
    </w:r>
    <w:r>
      <w:fldChar w:fldCharType="end"/>
    </w:r>
    <w:r>
      <w:rPr>
        <w:lang w:val="zh-CN"/>
      </w:rPr>
      <w:t xml:space="preserve"> / </w:t>
    </w:r>
    <w:r>
      <w:fldChar w:fldCharType="begin"/>
    </w:r>
    <w:r>
      <w:instrText xml:space="preserve">NUMPAGES  \* Arabic  \* MERGEFORMAT</w:instrText>
    </w:r>
    <w:r>
      <w:fldChar w:fldCharType="separate"/>
    </w:r>
    <w:r>
      <w:rPr>
        <w:lang w:val="zh-CN"/>
      </w:rPr>
      <w:t>2</w:t>
    </w:r>
    <w:r>
      <w:rPr>
        <w:lang w:val="zh-CN"/>
      </w:rPr>
      <w:fldChar w:fldCharType="end"/>
    </w:r>
  </w:p>
  <w:p w14:paraId="6FE65D56">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VhZjhjN2Q4MzY2NTZkYjMyYjY4M2YxNTU5MzBhNjcifQ=="/>
  </w:docVars>
  <w:rsids>
    <w:rsidRoot w:val="00494C46"/>
    <w:rsid w:val="0005378B"/>
    <w:rsid w:val="000F1FCE"/>
    <w:rsid w:val="0014148E"/>
    <w:rsid w:val="001576EA"/>
    <w:rsid w:val="001669DA"/>
    <w:rsid w:val="001D4838"/>
    <w:rsid w:val="00246E54"/>
    <w:rsid w:val="00283B29"/>
    <w:rsid w:val="00286711"/>
    <w:rsid w:val="00324C86"/>
    <w:rsid w:val="00337EFC"/>
    <w:rsid w:val="003B740A"/>
    <w:rsid w:val="00447722"/>
    <w:rsid w:val="00451777"/>
    <w:rsid w:val="0047084A"/>
    <w:rsid w:val="0048340B"/>
    <w:rsid w:val="00487B25"/>
    <w:rsid w:val="00494C46"/>
    <w:rsid w:val="004F2EF6"/>
    <w:rsid w:val="005027A2"/>
    <w:rsid w:val="00530C66"/>
    <w:rsid w:val="005E142A"/>
    <w:rsid w:val="006533A9"/>
    <w:rsid w:val="00661992"/>
    <w:rsid w:val="00674298"/>
    <w:rsid w:val="00783A4A"/>
    <w:rsid w:val="00793DB5"/>
    <w:rsid w:val="00796C76"/>
    <w:rsid w:val="007B0025"/>
    <w:rsid w:val="007F1C21"/>
    <w:rsid w:val="00845828"/>
    <w:rsid w:val="00852A23"/>
    <w:rsid w:val="008A4122"/>
    <w:rsid w:val="008C7AFB"/>
    <w:rsid w:val="008D48D9"/>
    <w:rsid w:val="008D6FA1"/>
    <w:rsid w:val="008F0E03"/>
    <w:rsid w:val="008F4DE3"/>
    <w:rsid w:val="00933A64"/>
    <w:rsid w:val="009A184B"/>
    <w:rsid w:val="00A37410"/>
    <w:rsid w:val="00AA79DF"/>
    <w:rsid w:val="00AB3B8A"/>
    <w:rsid w:val="00AE525C"/>
    <w:rsid w:val="00C34B71"/>
    <w:rsid w:val="00CB729E"/>
    <w:rsid w:val="00CD5DB1"/>
    <w:rsid w:val="00D41176"/>
    <w:rsid w:val="00D460BB"/>
    <w:rsid w:val="00DA36CB"/>
    <w:rsid w:val="00E45BB4"/>
    <w:rsid w:val="00E45EAD"/>
    <w:rsid w:val="00EE2704"/>
    <w:rsid w:val="00F5484B"/>
    <w:rsid w:val="00FE519F"/>
    <w:rsid w:val="29565F0F"/>
    <w:rsid w:val="2ADA0DDF"/>
    <w:rsid w:val="2B66378C"/>
    <w:rsid w:val="4A060614"/>
    <w:rsid w:val="52B906B8"/>
    <w:rsid w:val="5964731E"/>
    <w:rsid w:val="5C831FFA"/>
    <w:rsid w:val="5DA84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footer"/>
    <w:basedOn w:val="1"/>
    <w:link w:val="12"/>
    <w:autoRedefine/>
    <w:unhideWhenUsed/>
    <w:qFormat/>
    <w:uiPriority w:val="99"/>
    <w:pPr>
      <w:tabs>
        <w:tab w:val="center" w:pos="4153"/>
        <w:tab w:val="right" w:pos="8306"/>
      </w:tabs>
      <w:snapToGrid w:val="0"/>
      <w:jc w:val="left"/>
    </w:pPr>
    <w:rPr>
      <w:sz w:val="18"/>
      <w:szCs w:val="18"/>
    </w:rPr>
  </w:style>
  <w:style w:type="paragraph" w:styleId="4">
    <w:name w:val="header"/>
    <w:basedOn w:val="1"/>
    <w:link w:val="11"/>
    <w:autoRedefine/>
    <w:unhideWhenUsed/>
    <w:qFormat/>
    <w:uiPriority w:val="99"/>
    <w:pP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annotation subject"/>
    <w:basedOn w:val="2"/>
    <w:next w:val="2"/>
    <w:link w:val="17"/>
    <w:semiHidden/>
    <w:unhideWhenUsed/>
    <w:uiPriority w:val="99"/>
    <w:rPr>
      <w:b/>
      <w:bCs/>
    </w:rPr>
  </w:style>
  <w:style w:type="character" w:styleId="9">
    <w:name w:val="line number"/>
    <w:basedOn w:val="8"/>
    <w:autoRedefine/>
    <w:semiHidden/>
    <w:unhideWhenUsed/>
    <w:qFormat/>
    <w:uiPriority w:val="99"/>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4"/>
    <w:autoRedefine/>
    <w:qFormat/>
    <w:uiPriority w:val="99"/>
    <w:rPr>
      <w:sz w:val="18"/>
      <w:szCs w:val="18"/>
    </w:rPr>
  </w:style>
  <w:style w:type="character" w:customStyle="1" w:styleId="12">
    <w:name w:val="页脚 字符"/>
    <w:basedOn w:val="8"/>
    <w:link w:val="3"/>
    <w:autoRedefine/>
    <w:qFormat/>
    <w:uiPriority w:val="99"/>
    <w:rPr>
      <w:sz w:val="18"/>
      <w:szCs w:val="18"/>
    </w:rPr>
  </w:style>
  <w:style w:type="paragraph" w:customStyle="1" w:styleId="13">
    <w:name w:val="MDPI_3.1_text"/>
    <w:link w:val="14"/>
    <w:qFormat/>
    <w:uiPriority w:val="0"/>
    <w:pPr>
      <w:adjustRightInd w:val="0"/>
      <w:snapToGrid w:val="0"/>
      <w:spacing w:line="228" w:lineRule="auto"/>
      <w:ind w:left="2608" w:firstLine="425"/>
      <w:jc w:val="both"/>
    </w:pPr>
    <w:rPr>
      <w:rFonts w:ascii="Palatino Linotype" w:hAnsi="Palatino Linotype" w:eastAsia="Times New Roman" w:cs="Times New Roman"/>
      <w:snapToGrid w:val="0"/>
      <w:color w:val="000000"/>
      <w:szCs w:val="22"/>
      <w:lang w:val="en-US" w:eastAsia="de-DE" w:bidi="en-US"/>
    </w:rPr>
  </w:style>
  <w:style w:type="character" w:customStyle="1" w:styleId="14">
    <w:name w:val="MDPI_3.1_text 字符"/>
    <w:basedOn w:val="8"/>
    <w:link w:val="13"/>
    <w:qFormat/>
    <w:uiPriority w:val="0"/>
    <w:rPr>
      <w:rFonts w:ascii="Palatino Linotype" w:hAnsi="Palatino Linotype" w:eastAsia="Times New Roman" w:cs="Times New Roman"/>
      <w:snapToGrid w:val="0"/>
      <w:color w:val="000000"/>
      <w:szCs w:val="22"/>
      <w:lang w:eastAsia="de-DE" w:bidi="en-US"/>
    </w:rPr>
  </w:style>
  <w:style w:type="paragraph" w:customStyle="1" w:styleId="15">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16">
    <w:name w:val="批注文字 字符"/>
    <w:basedOn w:val="8"/>
    <w:link w:val="2"/>
    <w:semiHidden/>
    <w:qFormat/>
    <w:uiPriority w:val="99"/>
    <w:rPr>
      <w:kern w:val="2"/>
      <w:sz w:val="21"/>
      <w:szCs w:val="22"/>
    </w:rPr>
  </w:style>
  <w:style w:type="character" w:customStyle="1" w:styleId="17">
    <w:name w:val="批注主题 字符"/>
    <w:basedOn w:val="16"/>
    <w:link w:val="6"/>
    <w:semiHidden/>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CA53A-2BC6-4714-A55F-850D8C427E30}">
  <ds:schemaRefs/>
</ds:datastoreItem>
</file>

<file path=docProps/app.xml><?xml version="1.0" encoding="utf-8"?>
<Properties xmlns="http://schemas.openxmlformats.org/officeDocument/2006/extended-properties" xmlns:vt="http://schemas.openxmlformats.org/officeDocument/2006/docPropsVTypes">
  <Template>.~WRD0002</Template>
  <Pages>2</Pages>
  <Words>898</Words>
  <Characters>5817</Characters>
  <Lines>47</Lines>
  <Paragraphs>13</Paragraphs>
  <TotalTime>17</TotalTime>
  <ScaleCrop>false</ScaleCrop>
  <LinksUpToDate>false</LinksUpToDate>
  <CharactersWithSpaces>6694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2023-11-08T17:41:00Z</dcterms:created>
  <dc:creator>Doc Wang</dc:creator>
  <cp:lastModifiedBy>Felicia</cp:lastModifiedBy>
  <dcterms:modified xsi:type="dcterms:W3CDTF">2024-09-12T02:46:38Z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FC934D7E7F524ACFB3C95FACCD7C68AA_12</vt:lpwstr>
  </property>
</Properties>
</file>